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某</w:t>
      </w:r>
      <w:r>
        <w:rPr>
          <w:rFonts w:hint="eastAsia" w:ascii="黑体" w:hAnsi="黑体" w:eastAsia="黑体"/>
          <w:sz w:val="32"/>
          <w:szCs w:val="32"/>
        </w:rPr>
        <w:t>大学教务处经费管理系统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设计开发需求说明</w:t>
      </w:r>
    </w:p>
    <w:p>
      <w:pPr>
        <w:jc w:val="center"/>
        <w:rPr>
          <w:rFonts w:ascii="黑体" w:hAnsi="黑体" w:eastAsia="黑体"/>
          <w:szCs w:val="21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bCs/>
          <w:sz w:val="24"/>
          <w:szCs w:val="21"/>
          <w:highlight w:val="lightGray"/>
        </w:rPr>
        <w:t>（以下所列图片仅供参考）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用途要求</w:t>
      </w:r>
    </w:p>
    <w:p>
      <w:pPr>
        <w:pStyle w:val="5"/>
        <w:spacing w:line="360" w:lineRule="auto"/>
        <w:ind w:left="720" w:firstLine="0" w:firstLineChars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1．拟用于教务处各科室分管中央财政专项资金、省级实验教学中心和校外基地建设经费、教研及教改项目经费、日常教学经费等各类经费的账目处理及管理等工作。</w:t>
      </w:r>
    </w:p>
    <w:p>
      <w:pPr>
        <w:pStyle w:val="5"/>
        <w:spacing w:line="360" w:lineRule="auto"/>
        <w:ind w:left="720" w:firstLine="0" w:firstLineChars="0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2．系统拟设计为单机版本和网络版两种版本，同时具备账目管理轻松便捷、维护操作简单方便的特点。</w:t>
      </w:r>
    </w:p>
    <w:p>
      <w:pPr>
        <w:spacing w:line="360" w:lineRule="auto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二、功能模块</w:t>
      </w: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1．登录界面</w:t>
      </w:r>
    </w:p>
    <w:p>
      <w:pPr>
        <w:spacing w:line="360" w:lineRule="auto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1905</wp:posOffset>
            </wp:positionV>
            <wp:extent cx="3319145" cy="1975485"/>
            <wp:effectExtent l="19050" t="0" r="0" b="0"/>
            <wp:wrapNone/>
            <wp:docPr id="4" name="图片 4" descr="jfgl（封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jfgl（封面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3810" cy="1978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sz w:val="24"/>
          <w:szCs w:val="21"/>
        </w:rPr>
        <w:t xml:space="preserve">     </w:t>
      </w:r>
    </w:p>
    <w:p>
      <w:pPr>
        <w:spacing w:line="360" w:lineRule="auto"/>
        <w:rPr>
          <w:rFonts w:asci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eastAsia="仿宋_GB2312"/>
          <w:b/>
          <w:bCs/>
          <w:sz w:val="24"/>
        </w:rPr>
      </w:pPr>
    </w:p>
    <w:p>
      <w:pPr>
        <w:spacing w:line="360" w:lineRule="auto"/>
        <w:rPr>
          <w:rFonts w:ascii="仿宋_GB2312" w:eastAsia="仿宋_GB2312"/>
          <w:b/>
          <w:bCs/>
          <w:sz w:val="24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2．主菜单界面</w:t>
      </w:r>
    </w:p>
    <w:p>
      <w:pPr>
        <w:spacing w:line="360" w:lineRule="auto"/>
        <w:ind w:left="630" w:leftChars="300" w:firstLine="495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329565</wp:posOffset>
            </wp:positionV>
            <wp:extent cx="3319780" cy="1807845"/>
            <wp:effectExtent l="19050" t="19050" r="14270" b="20847"/>
            <wp:wrapNone/>
            <wp:docPr id="21" name="图片 20" descr="jfgl（菜单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jfgl（菜单）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9480" cy="180795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Cs/>
          <w:sz w:val="24"/>
          <w:szCs w:val="21"/>
        </w:rPr>
        <w:t>主菜单界面包括项目维护、账目处理、账目查询、系统维护、帮助等部分。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2.1项目维护</w:t>
      </w:r>
      <w:r>
        <w:rPr>
          <w:rFonts w:hint="eastAsia" w:ascii="仿宋_GB2312" w:eastAsia="仿宋_GB2312"/>
          <w:bCs/>
          <w:sz w:val="24"/>
          <w:szCs w:val="21"/>
        </w:rPr>
        <w:t>（包括项目增加、项目删除、项目修改三个子菜单）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 xml:space="preserve">  2.1.1项目增加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 xml:space="preserve">  该项功能可以增加经费项目的内容，每个项目包括项目代码、项目名称、费用、管理科室、操作人等信息，增加过程中不能为空。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1270</wp:posOffset>
            </wp:positionV>
            <wp:extent cx="4009390" cy="2208530"/>
            <wp:effectExtent l="19050" t="0" r="0" b="0"/>
            <wp:wrapNone/>
            <wp:docPr id="20" name="图片 5" descr="jfgl（项目增加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jfgl（项目增加）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7047" cy="2212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843" w:firstLineChars="35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2.1.2  项目删除：</w:t>
      </w:r>
    </w:p>
    <w:p>
      <w:pPr>
        <w:spacing w:line="360" w:lineRule="auto"/>
        <w:ind w:firstLine="840" w:firstLineChars="35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此项功能可以删除掉未使用项目的内容，项目一旦启用，就不能删除。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5715</wp:posOffset>
            </wp:positionV>
            <wp:extent cx="4057015" cy="2363470"/>
            <wp:effectExtent l="19050" t="0" r="850" b="0"/>
            <wp:wrapNone/>
            <wp:docPr id="6" name="图片 6" descr="jfgl（项目删除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jfgl（项目删除）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3615" cy="2361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843" w:firstLineChars="35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2.1.3  项目修改</w:t>
      </w:r>
    </w:p>
    <w:p>
      <w:pPr>
        <w:spacing w:line="360" w:lineRule="auto"/>
        <w:ind w:firstLine="840" w:firstLineChars="35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通过此项功能可以修改项目代码、项目名称、项目费用等内容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687070</wp:posOffset>
            </wp:positionH>
            <wp:positionV relativeFrom="paragraph">
              <wp:posOffset>1270</wp:posOffset>
            </wp:positionV>
            <wp:extent cx="4104640" cy="2294890"/>
            <wp:effectExtent l="19050" t="0" r="0" b="0"/>
            <wp:wrapNone/>
            <wp:docPr id="7" name="图片 7" descr="jfgl（项目修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jfgl（项目修改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0196" cy="229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2.2  账目管理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 xml:space="preserve"> </w:t>
      </w:r>
      <w:r>
        <w:rPr>
          <w:rFonts w:hint="eastAsia" w:ascii="仿宋_GB2312" w:eastAsia="仿宋_GB2312"/>
          <w:bCs/>
          <w:sz w:val="24"/>
          <w:szCs w:val="21"/>
        </w:rPr>
        <w:t xml:space="preserve"> 包括报销登记、销账和账目更改三个子菜单。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 xml:space="preserve">  2.2.1  报销登记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 xml:space="preserve"> </w:t>
      </w:r>
      <w:r>
        <w:rPr>
          <w:rFonts w:hint="eastAsia" w:ascii="仿宋_GB2312" w:eastAsia="仿宋_GB2312"/>
          <w:bCs/>
          <w:sz w:val="24"/>
          <w:szCs w:val="21"/>
        </w:rPr>
        <w:t xml:space="preserve"> 该项功能是本软件的核心部分，通过这项功能可以处理日常发生的每一笔账目，同时在总项目中对发生的费用进行扣除，具体界面如下</w:t>
      </w:r>
      <w:r>
        <w:rPr>
          <w:rFonts w:hint="eastAsia" w:ascii="仿宋_GB2312" w:eastAsia="仿宋_GB2312"/>
          <w:bCs/>
          <w:sz w:val="24"/>
          <w:szCs w:val="21"/>
          <w:highlight w:val="lightGray"/>
        </w:rPr>
        <w:t>（图片为参考，系统开发时需增加单价、数量、型号、备注等信息）</w:t>
      </w:r>
      <w:r>
        <w:rPr>
          <w:rFonts w:hint="eastAsia" w:ascii="仿宋_GB2312" w:eastAsia="仿宋_GB2312"/>
          <w:bCs/>
          <w:sz w:val="24"/>
          <w:szCs w:val="21"/>
        </w:rPr>
        <w:t>：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2540</wp:posOffset>
            </wp:positionV>
            <wp:extent cx="4940935" cy="3010535"/>
            <wp:effectExtent l="19050" t="0" r="0" b="0"/>
            <wp:wrapNone/>
            <wp:docPr id="8" name="图片 8" descr="jfgl（报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jfgl（报账）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0465" cy="301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报销信息填报完毕后总项目列表为以下界面。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drawing>
          <wp:inline distT="0" distB="0" distL="0" distR="0">
            <wp:extent cx="4923790" cy="2612390"/>
            <wp:effectExtent l="19050" t="0" r="0" b="0"/>
            <wp:docPr id="5" name="图片 1" descr="jfgl（总帐处理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jfgl（总帐处理）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6071" cy="26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2.2.2  销账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通过该项功能可以消除错报或不需要的账目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drawing>
          <wp:inline distT="0" distB="0" distL="0" distR="0">
            <wp:extent cx="4923790" cy="2750185"/>
            <wp:effectExtent l="19050" t="0" r="0" b="0"/>
            <wp:docPr id="1" name="图片 2" descr="jfgl（销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jfgl（销账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6934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选中要消除的账目，点击销账确认即可，弹出总帐处理对话框，在总帐中消除掉已报的账目费用。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2.2.3  账目更正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通过此项可以更正错报的账目信息。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5715</wp:posOffset>
            </wp:positionV>
            <wp:extent cx="4829175" cy="2458720"/>
            <wp:effectExtent l="19050" t="0" r="0" b="0"/>
            <wp:wrapNone/>
            <wp:docPr id="9" name="图片 9" descr="jfgl（更正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jfgl（更正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8996" cy="2458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 xml:space="preserve">   </w:t>
      </w:r>
    </w:p>
    <w:p>
      <w:pPr>
        <w:spacing w:line="360" w:lineRule="auto"/>
        <w:ind w:firstLine="361" w:firstLineChars="15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 xml:space="preserve"> 2.3  账目查询</w:t>
      </w:r>
    </w:p>
    <w:p>
      <w:pPr>
        <w:spacing w:line="360" w:lineRule="auto"/>
        <w:ind w:firstLine="600" w:firstLineChars="25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账目查询可以提供总帐查询、明细查询。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2.3.1 总帐查询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总帐查询采用标签形式处理，具体如下：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-78105</wp:posOffset>
            </wp:positionV>
            <wp:extent cx="4566920" cy="2682240"/>
            <wp:effectExtent l="19050" t="0" r="5080" b="0"/>
            <wp:wrapNone/>
            <wp:docPr id="10" name="图片 10" descr="jfgl（总帐查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jfgl（总帐查询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268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197485</wp:posOffset>
            </wp:positionV>
            <wp:extent cx="4570095" cy="2665095"/>
            <wp:effectExtent l="19050" t="0" r="1905" b="0"/>
            <wp:wrapNone/>
            <wp:docPr id="11" name="图片 11" descr="jfgl（部门查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jfgl（部门查询）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266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602" w:firstLineChars="25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2.3.2 明细查询：</w:t>
      </w:r>
    </w:p>
    <w:p>
      <w:pPr>
        <w:spacing w:line="360" w:lineRule="auto"/>
        <w:ind w:firstLine="600" w:firstLineChars="25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明细查询分为 “日期查询”、</w:t>
      </w:r>
      <w:r>
        <w:rPr>
          <w:rFonts w:hint="eastAsia" w:ascii="仿宋_GB2312" w:eastAsia="仿宋_GB2312"/>
          <w:bCs/>
          <w:sz w:val="24"/>
          <w:szCs w:val="21"/>
          <w:shd w:val="pct10" w:color="auto" w:fill="FFFFFF"/>
        </w:rPr>
        <w:t>“费用查询”</w:t>
      </w:r>
      <w:r>
        <w:rPr>
          <w:rFonts w:hint="eastAsia" w:ascii="仿宋_GB2312" w:eastAsia="仿宋_GB2312"/>
          <w:bCs/>
          <w:sz w:val="24"/>
          <w:szCs w:val="21"/>
        </w:rPr>
        <w:t>具体如下：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99060</wp:posOffset>
            </wp:positionV>
            <wp:extent cx="4572000" cy="2505075"/>
            <wp:effectExtent l="19050" t="0" r="0" b="0"/>
            <wp:wrapNone/>
            <wp:docPr id="12" name="图片 12" descr="jfgl（明细查询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jfgl（明细查询1）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496435" cy="2487930"/>
            <wp:effectExtent l="19050" t="0" r="0" b="0"/>
            <wp:wrapNone/>
            <wp:docPr id="13" name="图片 13" descr="jfgl（明细查询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jfgl（明细查询2）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6435" cy="248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2.4  系统维护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 xml:space="preserve"> </w:t>
      </w:r>
      <w:r>
        <w:rPr>
          <w:rFonts w:hint="eastAsia" w:ascii="仿宋_GB2312" w:eastAsia="仿宋_GB2312"/>
          <w:bCs/>
          <w:sz w:val="24"/>
          <w:szCs w:val="21"/>
        </w:rPr>
        <w:t xml:space="preserve"> 系统维护由用户设置、辅助数据、初始化三个部分组成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 xml:space="preserve">  2.4.1  用户设置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 xml:space="preserve">  </w:t>
      </w:r>
      <w:r>
        <w:rPr>
          <w:rFonts w:hint="eastAsia" w:ascii="仿宋_GB2312" w:eastAsia="仿宋_GB2312"/>
          <w:bCs/>
          <w:sz w:val="24"/>
          <w:szCs w:val="21"/>
        </w:rPr>
        <w:t>用户设置可以对本系统的用户名称、口令、权限作相应的设置。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95885</wp:posOffset>
            </wp:positionV>
            <wp:extent cx="4251325" cy="1981835"/>
            <wp:effectExtent l="19050" t="0" r="0" b="0"/>
            <wp:wrapNone/>
            <wp:docPr id="15" name="图片 15" descr="jfgl（用户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jfgl（用户）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7407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sz w:val="24"/>
          <w:szCs w:val="21"/>
        </w:rPr>
        <w:t xml:space="preserve">  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2.4. 2  辅助数据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t>辅助数据设置包括部门设置（</w:t>
      </w:r>
      <w:r>
        <w:rPr>
          <w:rFonts w:hint="eastAsia" w:ascii="仿宋_GB2312" w:eastAsia="仿宋_GB2312"/>
          <w:bCs/>
          <w:sz w:val="24"/>
          <w:szCs w:val="21"/>
          <w:shd w:val="pct10" w:color="auto" w:fill="FFFFFF"/>
        </w:rPr>
        <w:t>为教务处各科室</w:t>
      </w:r>
      <w:r>
        <w:rPr>
          <w:rFonts w:hint="eastAsia" w:ascii="仿宋_GB2312" w:eastAsia="仿宋_GB2312"/>
          <w:bCs/>
          <w:sz w:val="24"/>
          <w:szCs w:val="21"/>
        </w:rPr>
        <w:t>）、工作人员设置、常规科目设置三个部分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635</wp:posOffset>
            </wp:positionV>
            <wp:extent cx="4251325" cy="2335530"/>
            <wp:effectExtent l="19050" t="0" r="0" b="0"/>
            <wp:wrapNone/>
            <wp:docPr id="16" name="图片 16" descr="jfgl（辅助数据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jfgl（辅助数据1）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704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-3810</wp:posOffset>
            </wp:positionV>
            <wp:extent cx="4156075" cy="2303145"/>
            <wp:effectExtent l="19050" t="0" r="0" b="0"/>
            <wp:wrapNone/>
            <wp:docPr id="17" name="图片 17" descr="jfgl（辅助数据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jfgl（辅助数据2）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7777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  <w:r>
        <w:rPr>
          <w:sz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102870</wp:posOffset>
            </wp:positionV>
            <wp:extent cx="4156075" cy="2320290"/>
            <wp:effectExtent l="19050" t="0" r="0" b="0"/>
            <wp:wrapNone/>
            <wp:docPr id="18" name="图片 18" descr="jfgl（辅助数据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jfgl（辅助数据3）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65986" cy="232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2.5  初始化</w:t>
      </w:r>
    </w:p>
    <w:p>
      <w:pPr>
        <w:spacing w:line="360" w:lineRule="auto"/>
        <w:ind w:firstLine="480"/>
        <w:rPr>
          <w:rFonts w:ascii="仿宋_GB2312" w:eastAsia="仿宋_GB2312"/>
          <w:bCs/>
          <w:sz w:val="24"/>
          <w:szCs w:val="21"/>
        </w:rPr>
      </w:pPr>
      <w:r>
        <w:rPr>
          <w:rFonts w:hint="eastAsia" w:ascii="仿宋_GB2312" w:eastAsia="仿宋_GB2312"/>
          <w:bCs/>
          <w:sz w:val="24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292100</wp:posOffset>
            </wp:positionV>
            <wp:extent cx="4156075" cy="2362835"/>
            <wp:effectExtent l="19050" t="0" r="0" b="0"/>
            <wp:wrapNone/>
            <wp:docPr id="19" name="图片 19" descr="jfgl（初始化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jfgl（初始化）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7328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Cs/>
          <w:sz w:val="24"/>
          <w:szCs w:val="21"/>
        </w:rPr>
        <w:t xml:space="preserve">   初始化将对项目数据库和明细帐数据库起到清空的作用。</w:t>
      </w: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48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</w:p>
    <w:p>
      <w:pPr>
        <w:spacing w:line="360" w:lineRule="auto"/>
        <w:ind w:firstLine="723" w:firstLineChars="300"/>
        <w:rPr>
          <w:rFonts w:ascii="仿宋_GB2312" w:eastAsia="仿宋_GB2312"/>
          <w:b/>
          <w:bCs/>
          <w:sz w:val="24"/>
          <w:szCs w:val="21"/>
        </w:rPr>
      </w:pPr>
      <w:r>
        <w:rPr>
          <w:rFonts w:hint="eastAsia" w:ascii="仿宋_GB2312" w:eastAsia="仿宋_GB2312"/>
          <w:b/>
          <w:bCs/>
          <w:sz w:val="24"/>
          <w:szCs w:val="21"/>
        </w:rPr>
        <w:t>2.6  数据导入和备份</w:t>
      </w:r>
    </w:p>
    <w:p>
      <w:pPr>
        <w:spacing w:line="360" w:lineRule="auto"/>
        <w:ind w:firstLine="48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eastAsia="仿宋_GB2312"/>
          <w:bCs/>
          <w:sz w:val="24"/>
          <w:szCs w:val="21"/>
        </w:rPr>
        <w:t xml:space="preserve">   系统可导入和备份EXCEL、DBF、ACCESS等格式的数据。</w:t>
      </w:r>
      <w:r>
        <w:rPr>
          <w:rFonts w:hint="eastAsia" w:ascii="仿宋_GB2312" w:eastAsia="仿宋_GB2312"/>
          <w:b/>
          <w:bCs/>
          <w:sz w:val="24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7848600</wp:posOffset>
            </wp:positionV>
            <wp:extent cx="2857500" cy="1882140"/>
            <wp:effectExtent l="19050" t="0" r="0" b="0"/>
            <wp:wrapNone/>
            <wp:docPr id="3" name="图片 3" descr="jfgl（封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jfgl（封面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b/>
          <w:bCs/>
          <w:sz w:val="24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7848600</wp:posOffset>
            </wp:positionV>
            <wp:extent cx="2857500" cy="1882140"/>
            <wp:effectExtent l="19050" t="0" r="0" b="0"/>
            <wp:wrapNone/>
            <wp:docPr id="2" name="图片 2" descr="jfgl（封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jfgl（封面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63C04"/>
    <w:multiLevelType w:val="multilevel"/>
    <w:tmpl w:val="48B63C0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98"/>
    <w:rsid w:val="00097492"/>
    <w:rsid w:val="00477698"/>
    <w:rsid w:val="006A1A2E"/>
    <w:rsid w:val="0070391F"/>
    <w:rsid w:val="00993A29"/>
    <w:rsid w:val="00AA259E"/>
    <w:rsid w:val="00BD7CD9"/>
    <w:rsid w:val="00C0589D"/>
    <w:rsid w:val="00D335B7"/>
    <w:rsid w:val="00E54392"/>
    <w:rsid w:val="00F541A5"/>
    <w:rsid w:val="325F33C2"/>
    <w:rsid w:val="5CC752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99"/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Char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172</Words>
  <Characters>986</Characters>
  <Lines>8</Lines>
  <Paragraphs>2</Paragraphs>
  <TotalTime>0</TotalTime>
  <ScaleCrop>false</ScaleCrop>
  <LinksUpToDate>false</LinksUpToDate>
  <CharactersWithSpaces>1156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2017-02-11T04:12:00Z</dcterms:created>
  <dc:creator>Administrator</dc:creator>
  <cp:lastModifiedBy>孙谦</cp:lastModifiedBy>
  <dcterms:modified xsi:type="dcterms:W3CDTF">2017-02-17T08:14:06Z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